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50A44" w14:textId="77777777" w:rsidR="00B54F68" w:rsidRPr="00B54F68" w:rsidRDefault="00B54F68" w:rsidP="0074110D">
      <w:pPr>
        <w:snapToGrid w:val="0"/>
        <w:spacing w:after="0" w:line="276" w:lineRule="auto"/>
        <w:mirrorIndents/>
        <w:jc w:val="both"/>
        <w:rPr>
          <w:rFonts w:ascii="Times New Roman" w:hAnsi="Times New Roman" w:cs="Times New Roman"/>
          <w:b/>
          <w:sz w:val="24"/>
          <w:szCs w:val="24"/>
          <w:lang w:val="en-US"/>
        </w:rPr>
      </w:pPr>
      <w:r w:rsidRPr="00B54F68">
        <w:rPr>
          <w:rFonts w:ascii="Times New Roman" w:hAnsi="Times New Roman" w:cs="Times New Roman"/>
          <w:b/>
          <w:sz w:val="24"/>
          <w:szCs w:val="24"/>
          <w:lang w:val="en-US"/>
        </w:rPr>
        <w:t>The Role of Network Architecture in the Onset of Spontaneous Activity</w:t>
      </w:r>
    </w:p>
    <w:p w14:paraId="0437A79A" w14:textId="77777777" w:rsidR="00B54F68" w:rsidRPr="00B54F68" w:rsidRDefault="00B54F68" w:rsidP="0074110D">
      <w:pPr>
        <w:snapToGrid w:val="0"/>
        <w:spacing w:after="0" w:line="276" w:lineRule="auto"/>
        <w:mirrorIndents/>
        <w:jc w:val="both"/>
        <w:rPr>
          <w:rFonts w:ascii="Times New Roman" w:hAnsi="Times New Roman" w:cs="Times New Roman"/>
          <w:bCs/>
          <w:i/>
          <w:iCs/>
          <w:sz w:val="24"/>
          <w:szCs w:val="24"/>
          <w:vertAlign w:val="superscript"/>
          <w:lang w:val="en-US"/>
        </w:rPr>
      </w:pPr>
      <w:r w:rsidRPr="00B54F68">
        <w:rPr>
          <w:rFonts w:ascii="Times New Roman" w:hAnsi="Times New Roman" w:cs="Times New Roman"/>
          <w:bCs/>
          <w:i/>
          <w:iCs/>
          <w:sz w:val="24"/>
          <w:szCs w:val="24"/>
          <w:lang w:val="en-US"/>
        </w:rPr>
        <w:t xml:space="preserve">Diletta </w:t>
      </w:r>
      <w:proofErr w:type="spellStart"/>
      <w:proofErr w:type="gramStart"/>
      <w:r w:rsidRPr="00B54F68">
        <w:rPr>
          <w:rFonts w:ascii="Times New Roman" w:hAnsi="Times New Roman" w:cs="Times New Roman"/>
          <w:bCs/>
          <w:i/>
          <w:iCs/>
          <w:sz w:val="24"/>
          <w:szCs w:val="24"/>
          <w:lang w:val="en-US"/>
        </w:rPr>
        <w:t>POZZI</w:t>
      </w:r>
      <w:r w:rsidRPr="00B54F68">
        <w:rPr>
          <w:rFonts w:ascii="Times New Roman" w:hAnsi="Times New Roman" w:cs="Times New Roman"/>
          <w:bCs/>
          <w:i/>
          <w:iCs/>
          <w:sz w:val="24"/>
          <w:szCs w:val="24"/>
          <w:vertAlign w:val="superscript"/>
          <w:lang w:val="en-US"/>
        </w:rPr>
        <w:t>a,b</w:t>
      </w:r>
      <w:proofErr w:type="spellEnd"/>
      <w:proofErr w:type="gramEnd"/>
      <w:r w:rsidRPr="00B54F68">
        <w:rPr>
          <w:rFonts w:ascii="Times New Roman" w:hAnsi="Times New Roman" w:cs="Times New Roman"/>
          <w:bCs/>
          <w:i/>
          <w:iCs/>
          <w:sz w:val="24"/>
          <w:szCs w:val="24"/>
          <w:vertAlign w:val="superscript"/>
          <w:lang w:val="en-US"/>
        </w:rPr>
        <w:t>*</w:t>
      </w:r>
      <w:r w:rsidRPr="00B54F68">
        <w:rPr>
          <w:rFonts w:ascii="Times New Roman" w:hAnsi="Times New Roman" w:cs="Times New Roman"/>
          <w:bCs/>
          <w:i/>
          <w:iCs/>
          <w:sz w:val="24"/>
          <w:szCs w:val="24"/>
          <w:lang w:val="en-US"/>
        </w:rPr>
        <w:t xml:space="preserve">, </w:t>
      </w:r>
      <w:proofErr w:type="spellStart"/>
      <w:r w:rsidRPr="00B54F68">
        <w:rPr>
          <w:rFonts w:ascii="Times New Roman" w:hAnsi="Times New Roman" w:cs="Times New Roman"/>
          <w:bCs/>
          <w:i/>
          <w:iCs/>
          <w:sz w:val="24"/>
          <w:szCs w:val="24"/>
          <w:lang w:val="en-US"/>
        </w:rPr>
        <w:t>Nicolò</w:t>
      </w:r>
      <w:proofErr w:type="spellEnd"/>
      <w:r w:rsidRPr="00B54F68">
        <w:rPr>
          <w:rFonts w:ascii="Times New Roman" w:hAnsi="Times New Roman" w:cs="Times New Roman"/>
          <w:bCs/>
          <w:i/>
          <w:iCs/>
          <w:sz w:val="24"/>
          <w:szCs w:val="24"/>
          <w:lang w:val="en-US"/>
        </w:rPr>
        <w:t xml:space="preserve"> </w:t>
      </w:r>
      <w:proofErr w:type="spellStart"/>
      <w:r w:rsidRPr="00B54F68">
        <w:rPr>
          <w:rFonts w:ascii="Times New Roman" w:hAnsi="Times New Roman" w:cs="Times New Roman"/>
          <w:bCs/>
          <w:i/>
          <w:iCs/>
          <w:sz w:val="24"/>
          <w:szCs w:val="24"/>
          <w:lang w:val="en-US"/>
        </w:rPr>
        <w:t>MENEGHETTI</w:t>
      </w:r>
      <w:r w:rsidRPr="00B54F68">
        <w:rPr>
          <w:rFonts w:ascii="Times New Roman" w:hAnsi="Times New Roman" w:cs="Times New Roman"/>
          <w:bCs/>
          <w:i/>
          <w:iCs/>
          <w:sz w:val="24"/>
          <w:szCs w:val="24"/>
          <w:vertAlign w:val="superscript"/>
          <w:lang w:val="en-US"/>
        </w:rPr>
        <w:t>c</w:t>
      </w:r>
      <w:proofErr w:type="spellEnd"/>
      <w:r w:rsidRPr="00B54F68">
        <w:rPr>
          <w:rFonts w:ascii="Times New Roman" w:hAnsi="Times New Roman" w:cs="Times New Roman"/>
          <w:bCs/>
          <w:i/>
          <w:iCs/>
          <w:sz w:val="24"/>
          <w:szCs w:val="24"/>
          <w:lang w:val="en-US"/>
        </w:rPr>
        <w:t xml:space="preserve">, </w:t>
      </w:r>
      <w:proofErr w:type="spellStart"/>
      <w:r w:rsidRPr="00B54F68">
        <w:rPr>
          <w:rFonts w:ascii="Times New Roman" w:hAnsi="Times New Roman" w:cs="Times New Roman"/>
          <w:bCs/>
          <w:i/>
          <w:iCs/>
          <w:sz w:val="24"/>
          <w:szCs w:val="24"/>
          <w:lang w:val="en-US"/>
        </w:rPr>
        <w:t>Anjan</w:t>
      </w:r>
      <w:proofErr w:type="spellEnd"/>
      <w:r w:rsidRPr="00B54F68">
        <w:rPr>
          <w:rFonts w:ascii="Times New Roman" w:hAnsi="Times New Roman" w:cs="Times New Roman"/>
          <w:bCs/>
          <w:i/>
          <w:iCs/>
          <w:sz w:val="24"/>
          <w:szCs w:val="24"/>
          <w:lang w:val="en-US"/>
        </w:rPr>
        <w:t xml:space="preserve"> </w:t>
      </w:r>
      <w:proofErr w:type="spellStart"/>
      <w:r w:rsidRPr="00B54F68">
        <w:rPr>
          <w:rFonts w:ascii="Times New Roman" w:hAnsi="Times New Roman" w:cs="Times New Roman"/>
          <w:bCs/>
          <w:i/>
          <w:iCs/>
          <w:sz w:val="24"/>
          <w:szCs w:val="24"/>
          <w:lang w:val="en-US"/>
        </w:rPr>
        <w:t>ROY</w:t>
      </w:r>
      <w:r w:rsidRPr="00B54F68">
        <w:rPr>
          <w:rFonts w:ascii="Times New Roman" w:hAnsi="Times New Roman" w:cs="Times New Roman"/>
          <w:bCs/>
          <w:i/>
          <w:iCs/>
          <w:sz w:val="24"/>
          <w:szCs w:val="24"/>
          <w:vertAlign w:val="superscript"/>
          <w:lang w:val="en-US"/>
        </w:rPr>
        <w:t>d</w:t>
      </w:r>
      <w:proofErr w:type="spellEnd"/>
      <w:r w:rsidRPr="00B54F68">
        <w:rPr>
          <w:rFonts w:ascii="Times New Roman" w:hAnsi="Times New Roman" w:cs="Times New Roman"/>
          <w:bCs/>
          <w:i/>
          <w:iCs/>
          <w:sz w:val="24"/>
          <w:szCs w:val="24"/>
          <w:lang w:val="en-US"/>
        </w:rPr>
        <w:t xml:space="preserve">, Beatrice </w:t>
      </w:r>
      <w:proofErr w:type="spellStart"/>
      <w:r w:rsidRPr="00B54F68">
        <w:rPr>
          <w:rFonts w:ascii="Times New Roman" w:hAnsi="Times New Roman" w:cs="Times New Roman"/>
          <w:bCs/>
          <w:i/>
          <w:iCs/>
          <w:sz w:val="24"/>
          <w:szCs w:val="24"/>
          <w:lang w:val="en-US"/>
        </w:rPr>
        <w:t>PASTORE</w:t>
      </w:r>
      <w:r w:rsidRPr="00B54F68">
        <w:rPr>
          <w:rFonts w:ascii="Times New Roman" w:hAnsi="Times New Roman" w:cs="Times New Roman"/>
          <w:bCs/>
          <w:i/>
          <w:iCs/>
          <w:sz w:val="24"/>
          <w:szCs w:val="24"/>
          <w:vertAlign w:val="superscript"/>
          <w:lang w:val="en-US"/>
        </w:rPr>
        <w:t>a</w:t>
      </w:r>
      <w:proofErr w:type="spellEnd"/>
      <w:r w:rsidRPr="00B54F68">
        <w:rPr>
          <w:rFonts w:ascii="Times New Roman" w:hAnsi="Times New Roman" w:cs="Times New Roman"/>
          <w:bCs/>
          <w:i/>
          <w:iCs/>
          <w:sz w:val="24"/>
          <w:szCs w:val="24"/>
          <w:lang w:val="en-US"/>
        </w:rPr>
        <w:t xml:space="preserve">, Alberto </w:t>
      </w:r>
      <w:proofErr w:type="spellStart"/>
      <w:r w:rsidRPr="00B54F68">
        <w:rPr>
          <w:rFonts w:ascii="Times New Roman" w:hAnsi="Times New Roman" w:cs="Times New Roman"/>
          <w:bCs/>
          <w:i/>
          <w:iCs/>
          <w:sz w:val="24"/>
          <w:szCs w:val="24"/>
          <w:lang w:val="en-US"/>
        </w:rPr>
        <w:t>MAZZONI</w:t>
      </w:r>
      <w:r w:rsidRPr="00B54F68">
        <w:rPr>
          <w:rFonts w:ascii="Times New Roman" w:hAnsi="Times New Roman" w:cs="Times New Roman"/>
          <w:bCs/>
          <w:i/>
          <w:iCs/>
          <w:sz w:val="24"/>
          <w:szCs w:val="24"/>
          <w:vertAlign w:val="superscript"/>
          <w:lang w:val="en-US"/>
        </w:rPr>
        <w:t>c</w:t>
      </w:r>
      <w:proofErr w:type="spellEnd"/>
      <w:r w:rsidRPr="00B54F68">
        <w:rPr>
          <w:rFonts w:ascii="Times New Roman" w:hAnsi="Times New Roman" w:cs="Times New Roman"/>
          <w:bCs/>
          <w:i/>
          <w:iCs/>
          <w:sz w:val="24"/>
          <w:szCs w:val="24"/>
          <w:lang w:val="en-US"/>
        </w:rPr>
        <w:t xml:space="preserve">, Matteo </w:t>
      </w:r>
      <w:proofErr w:type="spellStart"/>
      <w:r w:rsidRPr="00B54F68">
        <w:rPr>
          <w:rFonts w:ascii="Times New Roman" w:hAnsi="Times New Roman" w:cs="Times New Roman"/>
          <w:bCs/>
          <w:i/>
          <w:iCs/>
          <w:sz w:val="24"/>
          <w:szCs w:val="24"/>
          <w:lang w:val="en-US"/>
        </w:rPr>
        <w:t>MARSILI</w:t>
      </w:r>
      <w:r w:rsidRPr="00B54F68">
        <w:rPr>
          <w:rFonts w:ascii="Times New Roman" w:hAnsi="Times New Roman" w:cs="Times New Roman"/>
          <w:bCs/>
          <w:i/>
          <w:iCs/>
          <w:sz w:val="24"/>
          <w:szCs w:val="24"/>
          <w:vertAlign w:val="superscript"/>
          <w:lang w:val="en-US"/>
        </w:rPr>
        <w:t>d</w:t>
      </w:r>
      <w:proofErr w:type="spellEnd"/>
      <w:r w:rsidRPr="00B54F68">
        <w:rPr>
          <w:rFonts w:ascii="Times New Roman" w:hAnsi="Times New Roman" w:cs="Times New Roman"/>
          <w:bCs/>
          <w:i/>
          <w:iCs/>
          <w:sz w:val="24"/>
          <w:szCs w:val="24"/>
          <w:lang w:val="en-US"/>
        </w:rPr>
        <w:t xml:space="preserve"> and Vincent </w:t>
      </w:r>
      <w:proofErr w:type="spellStart"/>
      <w:r w:rsidRPr="00B54F68">
        <w:rPr>
          <w:rFonts w:ascii="Times New Roman" w:hAnsi="Times New Roman" w:cs="Times New Roman"/>
          <w:bCs/>
          <w:i/>
          <w:iCs/>
          <w:sz w:val="24"/>
          <w:szCs w:val="24"/>
          <w:lang w:val="en-US"/>
        </w:rPr>
        <w:t>TORRE</w:t>
      </w:r>
      <w:r w:rsidRPr="00B54F68">
        <w:rPr>
          <w:rFonts w:ascii="Times New Roman" w:hAnsi="Times New Roman" w:cs="Times New Roman"/>
          <w:bCs/>
          <w:i/>
          <w:iCs/>
          <w:sz w:val="24"/>
          <w:szCs w:val="24"/>
          <w:vertAlign w:val="superscript"/>
          <w:lang w:val="en-US"/>
        </w:rPr>
        <w:t>a,e,f</w:t>
      </w:r>
      <w:proofErr w:type="spellEnd"/>
    </w:p>
    <w:p w14:paraId="319C1240" w14:textId="0342DD87" w:rsidR="0074110D" w:rsidRPr="0074110D" w:rsidRDefault="0074110D" w:rsidP="0074110D">
      <w:pPr>
        <w:snapToGrid w:val="0"/>
        <w:spacing w:after="0" w:line="276" w:lineRule="auto"/>
        <w:mirrorIndents/>
        <w:jc w:val="both"/>
        <w:rPr>
          <w:rFonts w:ascii="Times New Roman" w:hAnsi="Times New Roman" w:cs="Times New Roman"/>
          <w:bCs/>
          <w:i/>
          <w:iCs/>
          <w:sz w:val="24"/>
          <w:szCs w:val="24"/>
          <w:lang w:val="en-US"/>
        </w:rPr>
      </w:pPr>
      <w:hyperlink r:id="rId4" w:history="1">
        <w:r w:rsidRPr="0074110D">
          <w:rPr>
            <w:rStyle w:val="a5"/>
            <w:rFonts w:ascii="Times New Roman" w:hAnsi="Times New Roman" w:cs="Times New Roman"/>
            <w:bCs/>
            <w:i/>
            <w:iCs/>
            <w:sz w:val="24"/>
            <w:szCs w:val="24"/>
            <w:lang w:val="en-US"/>
          </w:rPr>
          <w:t>https://doi.org/10.37175/stemedicine.v1i1.1</w:t>
        </w:r>
      </w:hyperlink>
    </w:p>
    <w:p w14:paraId="62166FEC" w14:textId="77777777" w:rsidR="0074110D" w:rsidRDefault="0074110D" w:rsidP="0074110D">
      <w:pPr>
        <w:snapToGrid w:val="0"/>
        <w:spacing w:after="0" w:line="276" w:lineRule="auto"/>
        <w:mirrorIndents/>
        <w:jc w:val="both"/>
        <w:rPr>
          <w:rFonts w:ascii="Times New Roman" w:hAnsi="Times New Roman" w:cs="Times New Roman"/>
          <w:b/>
          <w:sz w:val="24"/>
          <w:szCs w:val="24"/>
          <w:lang w:val="en-US"/>
        </w:rPr>
      </w:pPr>
    </w:p>
    <w:p w14:paraId="447B583A" w14:textId="4B74FCE3" w:rsidR="003871C3" w:rsidRPr="00B54F68" w:rsidRDefault="003871C3" w:rsidP="0074110D">
      <w:pPr>
        <w:snapToGrid w:val="0"/>
        <w:spacing w:after="0" w:line="276" w:lineRule="auto"/>
        <w:mirrorIndents/>
        <w:jc w:val="both"/>
        <w:rPr>
          <w:rFonts w:ascii="Times New Roman" w:hAnsi="Times New Roman" w:cs="Times New Roman"/>
          <w:b/>
          <w:sz w:val="24"/>
          <w:szCs w:val="24"/>
          <w:lang w:val="en-US"/>
        </w:rPr>
      </w:pPr>
      <w:r w:rsidRPr="00B54F68">
        <w:rPr>
          <w:rFonts w:ascii="Times New Roman" w:hAnsi="Times New Roman" w:cs="Times New Roman"/>
          <w:b/>
          <w:sz w:val="24"/>
          <w:szCs w:val="24"/>
          <w:lang w:val="en-US"/>
        </w:rPr>
        <w:t>Supplementary Figures</w:t>
      </w:r>
    </w:p>
    <w:p w14:paraId="4AF484EF" w14:textId="77777777" w:rsidR="003871C3" w:rsidRPr="00B54F68" w:rsidRDefault="003871C3" w:rsidP="0074110D">
      <w:pPr>
        <w:snapToGrid w:val="0"/>
        <w:spacing w:after="0" w:line="276" w:lineRule="auto"/>
        <w:mirrorIndents/>
        <w:jc w:val="both"/>
        <w:rPr>
          <w:rFonts w:ascii="Times New Roman" w:hAnsi="Times New Roman" w:cs="Times New Roman"/>
          <w:b/>
          <w:sz w:val="24"/>
          <w:szCs w:val="24"/>
          <w:lang w:val="en-US"/>
        </w:rPr>
      </w:pPr>
      <w:r w:rsidRPr="00B54F68">
        <w:rPr>
          <w:rFonts w:ascii="Times New Roman" w:hAnsi="Times New Roman" w:cs="Times New Roman"/>
          <w:noProof/>
          <w:sz w:val="24"/>
          <w:szCs w:val="24"/>
          <w:lang w:val="en-US"/>
        </w:rPr>
        <w:drawing>
          <wp:inline distT="0" distB="0" distL="0" distR="0" wp14:anchorId="317FCC81" wp14:editId="1E700FBA">
            <wp:extent cx="6083300" cy="7689106"/>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9888" cy="7697434"/>
                    </a:xfrm>
                    <a:prstGeom prst="rect">
                      <a:avLst/>
                    </a:prstGeom>
                    <a:noFill/>
                  </pic:spPr>
                </pic:pic>
              </a:graphicData>
            </a:graphic>
          </wp:inline>
        </w:drawing>
      </w:r>
    </w:p>
    <w:p w14:paraId="219C92D4" w14:textId="77777777" w:rsidR="003871C3" w:rsidRPr="00B54F68" w:rsidRDefault="003871C3" w:rsidP="0074110D">
      <w:pPr>
        <w:snapToGrid w:val="0"/>
        <w:spacing w:after="0" w:line="276" w:lineRule="auto"/>
        <w:mirrorIndents/>
        <w:jc w:val="both"/>
        <w:rPr>
          <w:rFonts w:ascii="Times New Roman" w:hAnsi="Times New Roman" w:cs="Times New Roman"/>
          <w:bCs/>
          <w:sz w:val="24"/>
          <w:szCs w:val="24"/>
          <w:lang w:val="en-US"/>
        </w:rPr>
      </w:pPr>
      <w:r w:rsidRPr="00B54F68">
        <w:rPr>
          <w:rFonts w:ascii="Times New Roman" w:hAnsi="Times New Roman" w:cs="Times New Roman"/>
          <w:b/>
          <w:bCs/>
          <w:sz w:val="24"/>
          <w:szCs w:val="24"/>
          <w:lang w:val="en-US"/>
        </w:rPr>
        <w:lastRenderedPageBreak/>
        <w:t xml:space="preserve">Supplementary Figure 1: </w:t>
      </w:r>
      <w:r w:rsidRPr="00B54F68">
        <w:rPr>
          <w:rFonts w:ascii="Times New Roman" w:hAnsi="Times New Roman" w:cs="Times New Roman"/>
          <w:b/>
          <w:sz w:val="24"/>
          <w:szCs w:val="24"/>
          <w:lang w:val="en-US"/>
        </w:rPr>
        <w:t>Spontaneous events in the hippocampus.</w:t>
      </w:r>
      <w:r w:rsidRPr="00B54F68">
        <w:rPr>
          <w:rFonts w:ascii="Times New Roman" w:hAnsi="Times New Roman" w:cs="Times New Roman"/>
          <w:sz w:val="24"/>
          <w:szCs w:val="24"/>
          <w:lang w:val="en-US"/>
        </w:rPr>
        <w:t xml:space="preserve"> </w:t>
      </w:r>
      <w:r w:rsidRPr="00B54F68">
        <w:rPr>
          <w:rFonts w:ascii="Times New Roman" w:hAnsi="Times New Roman" w:cs="Times New Roman"/>
          <w:b/>
          <w:bCs/>
          <w:sz w:val="24"/>
          <w:szCs w:val="24"/>
          <w:lang w:val="en-US"/>
        </w:rPr>
        <w:t xml:space="preserve">(A) </w:t>
      </w:r>
      <w:r w:rsidRPr="00B54F68">
        <w:rPr>
          <w:rFonts w:ascii="Times New Roman" w:hAnsi="Times New Roman" w:cs="Times New Roman"/>
          <w:sz w:val="24"/>
          <w:szCs w:val="24"/>
          <w:lang w:val="en-US"/>
        </w:rPr>
        <w:t xml:space="preserve">Fluorescent image of the hippocampus from a GAD67-GFP mouse (P5) with DAPI nuclear staining; GABA+ neurons are labeled in green. The anatomical regions corresponding to the </w:t>
      </w:r>
      <w:proofErr w:type="spellStart"/>
      <w:r w:rsidRPr="00B54F68">
        <w:rPr>
          <w:rFonts w:ascii="Times New Roman" w:hAnsi="Times New Roman" w:cs="Times New Roman"/>
          <w:sz w:val="24"/>
          <w:szCs w:val="24"/>
          <w:lang w:val="en-US"/>
        </w:rPr>
        <w:t>cornu</w:t>
      </w:r>
      <w:proofErr w:type="spellEnd"/>
      <w:r w:rsidRPr="00B54F68">
        <w:rPr>
          <w:rFonts w:ascii="Times New Roman" w:hAnsi="Times New Roman" w:cs="Times New Roman"/>
          <w:sz w:val="24"/>
          <w:szCs w:val="24"/>
          <w:lang w:val="en-US"/>
        </w:rPr>
        <w:t xml:space="preserve"> </w:t>
      </w:r>
      <w:proofErr w:type="spellStart"/>
      <w:r w:rsidRPr="00B54F68">
        <w:rPr>
          <w:rFonts w:ascii="Times New Roman" w:hAnsi="Times New Roman" w:cs="Times New Roman"/>
          <w:sz w:val="24"/>
          <w:szCs w:val="24"/>
          <w:lang w:val="en-US"/>
        </w:rPr>
        <w:t>ammonis</w:t>
      </w:r>
      <w:proofErr w:type="spellEnd"/>
      <w:r w:rsidRPr="00B54F68">
        <w:rPr>
          <w:rFonts w:ascii="Times New Roman" w:hAnsi="Times New Roman" w:cs="Times New Roman"/>
          <w:sz w:val="24"/>
          <w:szCs w:val="24"/>
          <w:lang w:val="en-US"/>
        </w:rPr>
        <w:t xml:space="preserve"> fields (CA1-3), subiculum (Sub) and dentate gyrus (DG) are shown. </w:t>
      </w:r>
      <w:r w:rsidRPr="00B54F68">
        <w:rPr>
          <w:rFonts w:ascii="Times New Roman" w:hAnsi="Times New Roman" w:cs="Times New Roman"/>
          <w:b/>
          <w:bCs/>
          <w:sz w:val="24"/>
          <w:szCs w:val="24"/>
          <w:lang w:val="en-US"/>
        </w:rPr>
        <w:t xml:space="preserve">(B) </w:t>
      </w:r>
      <w:r w:rsidRPr="00B54F68">
        <w:rPr>
          <w:rFonts w:ascii="Times New Roman" w:hAnsi="Times New Roman" w:cs="Times New Roman"/>
          <w:sz w:val="24"/>
          <w:szCs w:val="24"/>
          <w:lang w:val="en-US"/>
        </w:rPr>
        <w:t xml:space="preserve">Slice loaded with the fluorescent indicator </w:t>
      </w:r>
      <w:proofErr w:type="spellStart"/>
      <w:r w:rsidRPr="00B54F68">
        <w:rPr>
          <w:rFonts w:ascii="Times New Roman" w:hAnsi="Times New Roman" w:cs="Times New Roman"/>
          <w:sz w:val="24"/>
          <w:szCs w:val="24"/>
          <w:lang w:val="en-US"/>
        </w:rPr>
        <w:t>Rhod</w:t>
      </w:r>
      <w:proofErr w:type="spellEnd"/>
      <w:r w:rsidRPr="00B54F68">
        <w:rPr>
          <w:rFonts w:ascii="Times New Roman" w:hAnsi="Times New Roman" w:cs="Times New Roman"/>
          <w:sz w:val="24"/>
          <w:szCs w:val="24"/>
          <w:lang w:val="en-US"/>
        </w:rPr>
        <w:t xml:space="preserve"> -3 AM during calcium imaging and corresponding GABA+ neurons </w:t>
      </w:r>
      <w:r w:rsidRPr="00B54F68">
        <w:rPr>
          <w:rFonts w:ascii="Times New Roman" w:hAnsi="Times New Roman" w:cs="Times New Roman"/>
          <w:b/>
          <w:bCs/>
          <w:sz w:val="24"/>
          <w:szCs w:val="24"/>
          <w:lang w:val="en-US"/>
        </w:rPr>
        <w:t xml:space="preserve">(C) </w:t>
      </w:r>
      <w:r w:rsidRPr="00B54F68">
        <w:rPr>
          <w:rFonts w:ascii="Times New Roman" w:hAnsi="Times New Roman" w:cs="Times New Roman"/>
          <w:sz w:val="24"/>
          <w:szCs w:val="24"/>
          <w:lang w:val="en-US"/>
        </w:rPr>
        <w:t xml:space="preserve">in the same field of view. </w:t>
      </w:r>
      <w:r w:rsidRPr="00B54F68">
        <w:rPr>
          <w:rFonts w:ascii="Times New Roman" w:hAnsi="Times New Roman" w:cs="Times New Roman"/>
          <w:b/>
          <w:bCs/>
          <w:sz w:val="24"/>
          <w:szCs w:val="24"/>
          <w:lang w:val="en-US"/>
        </w:rPr>
        <w:t xml:space="preserve">(D) </w:t>
      </w:r>
      <w:r w:rsidRPr="00B54F68">
        <w:rPr>
          <w:rFonts w:ascii="Times New Roman" w:hAnsi="Times New Roman" w:cs="Times New Roman"/>
          <w:sz w:val="24"/>
          <w:szCs w:val="24"/>
          <w:lang w:val="en-US"/>
        </w:rPr>
        <w:t>F/</w:t>
      </w:r>
      <w:proofErr w:type="gramStart"/>
      <w:r w:rsidRPr="00B54F68">
        <w:rPr>
          <w:rFonts w:ascii="Times New Roman" w:hAnsi="Times New Roman" w:cs="Times New Roman"/>
          <w:sz w:val="24"/>
          <w:szCs w:val="24"/>
          <w:lang w:val="en-US"/>
        </w:rPr>
        <w:t>F</w:t>
      </w:r>
      <w:r w:rsidRPr="00B54F68">
        <w:rPr>
          <w:rFonts w:ascii="Times New Roman" w:hAnsi="Times New Roman" w:cs="Times New Roman"/>
          <w:sz w:val="24"/>
          <w:szCs w:val="24"/>
          <w:vertAlign w:val="subscript"/>
          <w:lang w:val="en-US"/>
        </w:rPr>
        <w:t>(</w:t>
      </w:r>
      <w:proofErr w:type="gramEnd"/>
      <w:r w:rsidRPr="00B54F68">
        <w:rPr>
          <w:rFonts w:ascii="Times New Roman" w:hAnsi="Times New Roman" w:cs="Times New Roman"/>
          <w:sz w:val="24"/>
          <w:szCs w:val="24"/>
          <w:vertAlign w:val="subscript"/>
          <w:lang w:val="en-US"/>
        </w:rPr>
        <w:t>0)</w:t>
      </w:r>
      <w:r w:rsidRPr="00B54F68">
        <w:rPr>
          <w:rFonts w:ascii="Times New Roman" w:hAnsi="Times New Roman" w:cs="Times New Roman"/>
          <w:sz w:val="24"/>
          <w:szCs w:val="24"/>
          <w:lang w:val="en-US"/>
        </w:rPr>
        <w:t xml:space="preserve"> traces extrapolated from the whole image (blue trace at the bottom), from GABA+ (colored traces in the middle) and GABA- neurons (colored traces on top). </w:t>
      </w:r>
      <w:r w:rsidRPr="00B54F68">
        <w:rPr>
          <w:rFonts w:ascii="Times New Roman" w:hAnsi="Times New Roman" w:cs="Times New Roman"/>
          <w:b/>
          <w:bCs/>
          <w:sz w:val="24"/>
          <w:szCs w:val="24"/>
          <w:lang w:val="en-US"/>
        </w:rPr>
        <w:t>(E)</w:t>
      </w:r>
      <w:r w:rsidRPr="00B54F68">
        <w:rPr>
          <w:rFonts w:ascii="Times New Roman" w:hAnsi="Times New Roman" w:cs="Times New Roman"/>
          <w:bCs/>
          <w:sz w:val="24"/>
          <w:szCs w:val="24"/>
          <w:lang w:val="en-US"/>
        </w:rPr>
        <w:t xml:space="preserve"> Examples of Confined Optical Transients (COTs) from a pseudo-color </w:t>
      </w:r>
      <w:r w:rsidRPr="00B54F68">
        <w:rPr>
          <w:rFonts w:ascii="Times New Roman" w:hAnsi="Times New Roman" w:cs="Times New Roman"/>
          <w:bCs/>
          <w:sz w:val="24"/>
          <w:szCs w:val="24"/>
          <w:lang w:val="en-US"/>
        </w:rPr>
        <w:t>F/</w:t>
      </w:r>
      <w:proofErr w:type="gramStart"/>
      <w:r w:rsidRPr="00B54F68">
        <w:rPr>
          <w:rFonts w:ascii="Times New Roman" w:hAnsi="Times New Roman" w:cs="Times New Roman"/>
          <w:bCs/>
          <w:sz w:val="24"/>
          <w:szCs w:val="24"/>
          <w:lang w:val="en-US"/>
        </w:rPr>
        <w:t>F</w:t>
      </w:r>
      <w:r w:rsidRPr="00B54F68">
        <w:rPr>
          <w:rFonts w:ascii="Times New Roman" w:hAnsi="Times New Roman" w:cs="Times New Roman"/>
          <w:bCs/>
          <w:sz w:val="24"/>
          <w:szCs w:val="24"/>
          <w:vertAlign w:val="subscript"/>
          <w:lang w:val="en-US"/>
        </w:rPr>
        <w:t>(</w:t>
      </w:r>
      <w:proofErr w:type="gramEnd"/>
      <w:r w:rsidRPr="00B54F68">
        <w:rPr>
          <w:rFonts w:ascii="Times New Roman" w:hAnsi="Times New Roman" w:cs="Times New Roman"/>
          <w:bCs/>
          <w:sz w:val="24"/>
          <w:szCs w:val="24"/>
          <w:vertAlign w:val="subscript"/>
          <w:lang w:val="en-US"/>
        </w:rPr>
        <w:t>0)</w:t>
      </w:r>
      <w:r w:rsidRPr="00B54F68">
        <w:rPr>
          <w:rFonts w:ascii="Times New Roman" w:hAnsi="Times New Roman" w:cs="Times New Roman"/>
          <w:bCs/>
          <w:sz w:val="24"/>
          <w:szCs w:val="24"/>
          <w:lang w:val="en-US"/>
        </w:rPr>
        <w:t xml:space="preserve"> movie, showing isolated regions of variable sizes (see red circles; the rounded numbers are expressed in µm</w:t>
      </w:r>
      <w:r w:rsidRPr="00B54F68">
        <w:rPr>
          <w:rFonts w:ascii="Times New Roman" w:hAnsi="Times New Roman" w:cs="Times New Roman"/>
          <w:bCs/>
          <w:sz w:val="24"/>
          <w:szCs w:val="24"/>
          <w:vertAlign w:val="superscript"/>
          <w:lang w:val="en-US"/>
        </w:rPr>
        <w:t>2</w:t>
      </w:r>
      <w:r w:rsidRPr="00B54F68">
        <w:rPr>
          <w:rFonts w:ascii="Times New Roman" w:hAnsi="Times New Roman" w:cs="Times New Roman"/>
          <w:bCs/>
          <w:sz w:val="24"/>
          <w:szCs w:val="24"/>
          <w:lang w:val="en-US"/>
        </w:rPr>
        <w:t xml:space="preserve">). </w:t>
      </w:r>
      <w:r w:rsidRPr="00B54F68">
        <w:rPr>
          <w:rFonts w:ascii="Times New Roman" w:hAnsi="Times New Roman" w:cs="Times New Roman"/>
          <w:b/>
          <w:bCs/>
          <w:sz w:val="24"/>
          <w:szCs w:val="24"/>
          <w:lang w:val="en-US"/>
        </w:rPr>
        <w:t>(F)</w:t>
      </w:r>
      <w:r w:rsidRPr="00B54F68">
        <w:rPr>
          <w:rFonts w:ascii="Times New Roman" w:hAnsi="Times New Roman" w:cs="Times New Roman"/>
          <w:bCs/>
          <w:sz w:val="24"/>
          <w:szCs w:val="24"/>
          <w:lang w:val="en-US"/>
        </w:rPr>
        <w:t xml:space="preserve"> example of a Diffuse Optical Transient (DOT), where the increase in </w:t>
      </w:r>
      <w:r w:rsidRPr="00B54F68">
        <w:rPr>
          <w:rFonts w:ascii="Times New Roman" w:hAnsi="Times New Roman" w:cs="Times New Roman"/>
          <w:bCs/>
          <w:sz w:val="24"/>
          <w:szCs w:val="24"/>
          <w:lang w:val="en-US"/>
        </w:rPr>
        <w:t>F/</w:t>
      </w:r>
      <w:proofErr w:type="spellStart"/>
      <w:r w:rsidRPr="00B54F68">
        <w:rPr>
          <w:rFonts w:ascii="Times New Roman" w:hAnsi="Times New Roman" w:cs="Times New Roman"/>
          <w:bCs/>
          <w:sz w:val="24"/>
          <w:szCs w:val="24"/>
          <w:lang w:val="en-US"/>
        </w:rPr>
        <w:t>F</w:t>
      </w:r>
      <w:r w:rsidRPr="00B54F68">
        <w:rPr>
          <w:rFonts w:ascii="Times New Roman" w:hAnsi="Times New Roman" w:cs="Times New Roman"/>
          <w:bCs/>
          <w:sz w:val="24"/>
          <w:szCs w:val="24"/>
          <w:vertAlign w:val="subscript"/>
          <w:lang w:val="en-US"/>
        </w:rPr>
        <w:t>network</w:t>
      </w:r>
      <w:proofErr w:type="spellEnd"/>
      <w:r w:rsidRPr="00B54F68">
        <w:rPr>
          <w:rFonts w:ascii="Times New Roman" w:hAnsi="Times New Roman" w:cs="Times New Roman"/>
          <w:bCs/>
          <w:sz w:val="24"/>
          <w:szCs w:val="24"/>
          <w:vertAlign w:val="subscript"/>
          <w:lang w:val="en-US"/>
        </w:rPr>
        <w:t xml:space="preserve"> </w:t>
      </w:r>
      <w:r w:rsidRPr="00B54F68">
        <w:rPr>
          <w:rFonts w:ascii="Times New Roman" w:hAnsi="Times New Roman" w:cs="Times New Roman"/>
          <w:bCs/>
          <w:sz w:val="24"/>
          <w:szCs w:val="24"/>
          <w:lang w:val="en-US"/>
        </w:rPr>
        <w:t xml:space="preserve">involves more than 50% of the imaged slice. Color bar on the right. Scale bars: 80 µm in both fluorescence and pseudo-color images. </w:t>
      </w:r>
      <w:r w:rsidRPr="00B54F68">
        <w:rPr>
          <w:rFonts w:ascii="Times New Roman" w:hAnsi="Times New Roman" w:cs="Times New Roman"/>
          <w:b/>
          <w:bCs/>
          <w:sz w:val="24"/>
          <w:szCs w:val="24"/>
          <w:lang w:val="en-US"/>
        </w:rPr>
        <w:t>(G, H)</w:t>
      </w:r>
      <w:r w:rsidRPr="00B54F68">
        <w:rPr>
          <w:rFonts w:ascii="Times New Roman" w:hAnsi="Times New Roman" w:cs="Times New Roman"/>
          <w:bCs/>
          <w:sz w:val="24"/>
          <w:szCs w:val="24"/>
          <w:lang w:val="en-US"/>
        </w:rPr>
        <w:t xml:space="preserve"> Probability distribution of area and duration of COTs in the hippocampus. Circles, rhombus and asterisks represent data from three representative experiments: the corresponding dotted lines in (H) show the linear fitting for each distribution. DOTs are represented as outliers outside the area’s distributions (see black circle). </w:t>
      </w:r>
      <w:r w:rsidRPr="00B54F68">
        <w:rPr>
          <w:rFonts w:ascii="Times New Roman" w:hAnsi="Times New Roman" w:cs="Times New Roman"/>
          <w:b/>
          <w:bCs/>
          <w:sz w:val="24"/>
          <w:szCs w:val="24"/>
          <w:lang w:val="en-US"/>
        </w:rPr>
        <w:t xml:space="preserve">(I) </w:t>
      </w:r>
      <w:r w:rsidRPr="00B54F68">
        <w:rPr>
          <w:rFonts w:ascii="Times New Roman" w:hAnsi="Times New Roman" w:cs="Times New Roman"/>
          <w:bCs/>
          <w:sz w:val="24"/>
          <w:szCs w:val="24"/>
          <w:lang w:val="en-US"/>
        </w:rPr>
        <w:t>Density of COTs over time for different area sizes (COTs&lt;100 µm</w:t>
      </w:r>
      <w:proofErr w:type="gramStart"/>
      <w:r w:rsidRPr="00B54F68">
        <w:rPr>
          <w:rFonts w:ascii="Times New Roman" w:hAnsi="Times New Roman" w:cs="Times New Roman"/>
          <w:bCs/>
          <w:sz w:val="24"/>
          <w:szCs w:val="24"/>
          <w:vertAlign w:val="superscript"/>
          <w:lang w:val="en-US"/>
        </w:rPr>
        <w:t xml:space="preserve">2 </w:t>
      </w:r>
      <w:r w:rsidRPr="00B54F68">
        <w:rPr>
          <w:rFonts w:ascii="Times New Roman" w:hAnsi="Times New Roman" w:cs="Times New Roman"/>
          <w:bCs/>
          <w:sz w:val="24"/>
          <w:szCs w:val="24"/>
          <w:lang w:val="en-US"/>
        </w:rPr>
        <w:t xml:space="preserve"> and</w:t>
      </w:r>
      <w:proofErr w:type="gramEnd"/>
      <w:r w:rsidRPr="00B54F68">
        <w:rPr>
          <w:rFonts w:ascii="Times New Roman" w:hAnsi="Times New Roman" w:cs="Times New Roman"/>
          <w:bCs/>
          <w:sz w:val="24"/>
          <w:szCs w:val="24"/>
          <w:lang w:val="en-US"/>
        </w:rPr>
        <w:t xml:space="preserve"> COTs&gt;µm</w:t>
      </w:r>
      <w:r w:rsidRPr="00B54F68">
        <w:rPr>
          <w:rFonts w:ascii="Times New Roman" w:hAnsi="Times New Roman" w:cs="Times New Roman"/>
          <w:bCs/>
          <w:sz w:val="24"/>
          <w:szCs w:val="24"/>
          <w:vertAlign w:val="superscript"/>
          <w:lang w:val="en-US"/>
        </w:rPr>
        <w:t>2</w:t>
      </w:r>
      <w:r w:rsidRPr="00B54F68">
        <w:rPr>
          <w:rFonts w:ascii="Times New Roman" w:hAnsi="Times New Roman" w:cs="Times New Roman"/>
          <w:bCs/>
          <w:sz w:val="24"/>
          <w:szCs w:val="24"/>
          <w:lang w:val="en-US"/>
        </w:rPr>
        <w:t xml:space="preserve">, yellow and blue lines respectively) and with reference to DOTs occurrence (red vertical lines). The inset shows the decrease in COTs density corresponding to </w:t>
      </w:r>
      <w:proofErr w:type="spellStart"/>
      <w:r w:rsidRPr="00B54F68">
        <w:rPr>
          <w:rFonts w:ascii="Times New Roman" w:hAnsi="Times New Roman" w:cs="Times New Roman"/>
          <w:bCs/>
          <w:sz w:val="24"/>
          <w:szCs w:val="24"/>
          <w:lang w:val="en-US"/>
        </w:rPr>
        <w:t>DOTs’</w:t>
      </w:r>
      <w:proofErr w:type="spellEnd"/>
      <w:r w:rsidRPr="00B54F68">
        <w:rPr>
          <w:rFonts w:ascii="Times New Roman" w:hAnsi="Times New Roman" w:cs="Times New Roman"/>
          <w:bCs/>
          <w:sz w:val="24"/>
          <w:szCs w:val="24"/>
          <w:lang w:val="en-US"/>
        </w:rPr>
        <w:t xml:space="preserve"> occurrence.</w:t>
      </w:r>
    </w:p>
    <w:p w14:paraId="0EB985DE" w14:textId="77777777" w:rsidR="00B54F68" w:rsidRDefault="00B54F68" w:rsidP="0074110D">
      <w:pPr>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7E51479F" w14:textId="77777777" w:rsidR="003871C3" w:rsidRPr="00B54F68" w:rsidRDefault="003871C3" w:rsidP="0074110D">
      <w:pPr>
        <w:snapToGrid w:val="0"/>
        <w:spacing w:after="0" w:line="276" w:lineRule="auto"/>
        <w:mirrorIndents/>
        <w:jc w:val="both"/>
        <w:rPr>
          <w:rFonts w:ascii="Times New Roman" w:hAnsi="Times New Roman" w:cs="Times New Roman"/>
          <w:b/>
          <w:sz w:val="24"/>
          <w:szCs w:val="24"/>
          <w:lang w:val="en-US"/>
        </w:rPr>
      </w:pPr>
      <w:r w:rsidRPr="00B54F68">
        <w:rPr>
          <w:rFonts w:ascii="Times New Roman" w:hAnsi="Times New Roman" w:cs="Times New Roman"/>
          <w:b/>
          <w:noProof/>
          <w:sz w:val="24"/>
          <w:szCs w:val="24"/>
          <w:lang w:val="en-US"/>
        </w:rPr>
        <w:lastRenderedPageBreak/>
        <w:drawing>
          <wp:inline distT="0" distB="0" distL="0" distR="0" wp14:anchorId="283DC5F4" wp14:editId="64DFD830">
            <wp:extent cx="6120130" cy="3085048"/>
            <wp:effectExtent l="0" t="0" r="0" b="127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085048"/>
                    </a:xfrm>
                    <a:prstGeom prst="rect">
                      <a:avLst/>
                    </a:prstGeom>
                    <a:noFill/>
                  </pic:spPr>
                </pic:pic>
              </a:graphicData>
            </a:graphic>
          </wp:inline>
        </w:drawing>
      </w:r>
    </w:p>
    <w:p w14:paraId="0F35A4E3" w14:textId="77777777" w:rsidR="003871C3" w:rsidRPr="00B54F68" w:rsidRDefault="003871C3" w:rsidP="0074110D">
      <w:pPr>
        <w:snapToGrid w:val="0"/>
        <w:spacing w:after="0" w:line="276" w:lineRule="auto"/>
        <w:mirrorIndents/>
        <w:jc w:val="both"/>
        <w:rPr>
          <w:rFonts w:ascii="Times New Roman" w:hAnsi="Times New Roman" w:cs="Times New Roman"/>
          <w:sz w:val="24"/>
          <w:szCs w:val="24"/>
          <w:lang w:val="en-US"/>
        </w:rPr>
      </w:pPr>
      <w:r w:rsidRPr="00B54F68">
        <w:rPr>
          <w:rFonts w:ascii="Times New Roman" w:hAnsi="Times New Roman" w:cs="Times New Roman"/>
          <w:b/>
          <w:sz w:val="24"/>
          <w:szCs w:val="24"/>
          <w:lang w:val="en-US"/>
        </w:rPr>
        <w:t>Supplementary Figure 2: Confocal 3D reconstruction of GABA+ neurons in a representative organotypic slice from GAD67-GFP mouse after 7 days in culture.</w:t>
      </w:r>
      <w:r w:rsidRPr="00B54F68">
        <w:rPr>
          <w:rFonts w:ascii="Times New Roman" w:hAnsi="Times New Roman" w:cs="Times New Roman"/>
          <w:sz w:val="24"/>
          <w:szCs w:val="24"/>
          <w:lang w:val="en-US"/>
        </w:rPr>
        <w:t xml:space="preserve"> The cortical region in this example was imaged with a 40x objective, in z-stack acquisition mode (26 steps of 1.9 µm each). The starting and ending point of the acquisition coincided with the most superficial and the deepest layer of cells visible by nuclear Hoechst (Sigma-Aldrich) staining (blue channel not shown in this figure).</w:t>
      </w:r>
    </w:p>
    <w:p w14:paraId="18035157" w14:textId="77777777" w:rsidR="00B54F68" w:rsidRDefault="00B54F68" w:rsidP="0074110D">
      <w:pPr>
        <w:spacing w:line="276" w:lineRule="auto"/>
        <w:jc w:val="both"/>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br w:type="page"/>
      </w:r>
    </w:p>
    <w:p w14:paraId="525424E9" w14:textId="77777777" w:rsidR="003871C3" w:rsidRPr="00B54F68" w:rsidRDefault="003871C3" w:rsidP="0074110D">
      <w:pPr>
        <w:snapToGrid w:val="0"/>
        <w:spacing w:after="0" w:line="276" w:lineRule="auto"/>
        <w:mirrorIndents/>
        <w:jc w:val="both"/>
        <w:rPr>
          <w:rFonts w:ascii="Times New Roman" w:eastAsia="Times New Roman" w:hAnsi="Times New Roman" w:cs="Times New Roman"/>
          <w:sz w:val="24"/>
          <w:szCs w:val="24"/>
          <w:lang w:val="en-US" w:eastAsia="it-IT"/>
        </w:rPr>
      </w:pPr>
      <w:r w:rsidRPr="00B54F68">
        <w:rPr>
          <w:rFonts w:ascii="Times New Roman" w:hAnsi="Times New Roman" w:cs="Times New Roman"/>
          <w:noProof/>
          <w:sz w:val="24"/>
          <w:szCs w:val="24"/>
          <w:lang w:val="en-US"/>
        </w:rPr>
        <w:lastRenderedPageBreak/>
        <w:drawing>
          <wp:inline distT="0" distB="0" distL="0" distR="0" wp14:anchorId="7A758C44" wp14:editId="7E25131E">
            <wp:extent cx="6082838" cy="46926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8333" cy="4704604"/>
                    </a:xfrm>
                    <a:prstGeom prst="rect">
                      <a:avLst/>
                    </a:prstGeom>
                    <a:noFill/>
                  </pic:spPr>
                </pic:pic>
              </a:graphicData>
            </a:graphic>
          </wp:inline>
        </w:drawing>
      </w:r>
    </w:p>
    <w:p w14:paraId="0118E23A" w14:textId="77777777" w:rsidR="003871C3" w:rsidRPr="00B54F68" w:rsidRDefault="003871C3" w:rsidP="0074110D">
      <w:pPr>
        <w:snapToGrid w:val="0"/>
        <w:spacing w:after="0" w:line="276" w:lineRule="auto"/>
        <w:mirrorIndents/>
        <w:jc w:val="both"/>
        <w:rPr>
          <w:rFonts w:ascii="Times New Roman" w:hAnsi="Times New Roman" w:cs="Times New Roman"/>
          <w:sz w:val="24"/>
          <w:szCs w:val="24"/>
          <w:lang w:val="en-US"/>
        </w:rPr>
      </w:pPr>
      <w:r w:rsidRPr="00B54F68">
        <w:rPr>
          <w:rFonts w:ascii="Times New Roman" w:hAnsi="Times New Roman" w:cs="Times New Roman"/>
          <w:b/>
          <w:sz w:val="24"/>
          <w:szCs w:val="24"/>
          <w:lang w:val="en-US"/>
        </w:rPr>
        <w:t xml:space="preserve">Supplementary Figure 3: Seeds of </w:t>
      </w:r>
      <w:r w:rsidRPr="00B54F68">
        <w:rPr>
          <w:rFonts w:ascii="Times New Roman" w:hAnsi="Times New Roman" w:cs="Times New Roman"/>
          <w:b/>
          <w:color w:val="000000" w:themeColor="text1"/>
          <w:kern w:val="24"/>
          <w:sz w:val="24"/>
          <w:szCs w:val="24"/>
          <w:lang w:val="en-US"/>
        </w:rPr>
        <w:t>DOTs in hippocampal slices.</w:t>
      </w:r>
      <w:r w:rsidRPr="00B54F68">
        <w:rPr>
          <w:rFonts w:ascii="Times New Roman" w:hAnsi="Times New Roman" w:cs="Times New Roman"/>
          <w:color w:val="000000" w:themeColor="text1"/>
          <w:kern w:val="24"/>
          <w:sz w:val="24"/>
          <w:szCs w:val="24"/>
          <w:lang w:val="en-US"/>
        </w:rPr>
        <w:t xml:space="preserve"> </w:t>
      </w:r>
      <w:r w:rsidRPr="00B54F68">
        <w:rPr>
          <w:rFonts w:ascii="Times New Roman" w:hAnsi="Times New Roman" w:cs="Times New Roman"/>
          <w:b/>
          <w:color w:val="000000" w:themeColor="text1"/>
          <w:kern w:val="24"/>
          <w:sz w:val="24"/>
          <w:szCs w:val="24"/>
          <w:lang w:val="en-US"/>
        </w:rPr>
        <w:t>(A)</w:t>
      </w:r>
      <w:r w:rsidRPr="00B54F68">
        <w:rPr>
          <w:rFonts w:ascii="Times New Roman" w:hAnsi="Times New Roman" w:cs="Times New Roman"/>
          <w:color w:val="000000" w:themeColor="text1"/>
          <w:kern w:val="24"/>
          <w:sz w:val="24"/>
          <w:szCs w:val="24"/>
          <w:lang w:val="en-US"/>
        </w:rPr>
        <w:t xml:space="preserve"> Averaged optical trace of a representative 40 min recording. </w:t>
      </w:r>
      <w:r w:rsidRPr="00B54F68">
        <w:rPr>
          <w:rFonts w:ascii="Times New Roman" w:hAnsi="Times New Roman" w:cs="Times New Roman"/>
          <w:bCs/>
          <w:color w:val="000000" w:themeColor="text1"/>
          <w:kern w:val="24"/>
          <w:sz w:val="24"/>
          <w:szCs w:val="24"/>
          <w:lang w:val="en-US"/>
        </w:rPr>
        <w:t xml:space="preserve"> </w:t>
      </w:r>
      <w:r w:rsidRPr="00B54F68">
        <w:rPr>
          <w:rFonts w:ascii="Times New Roman" w:hAnsi="Times New Roman" w:cs="Times New Roman"/>
          <w:b/>
          <w:bCs/>
          <w:color w:val="000000" w:themeColor="text1"/>
          <w:kern w:val="24"/>
          <w:sz w:val="24"/>
          <w:szCs w:val="24"/>
          <w:lang w:val="en-US"/>
        </w:rPr>
        <w:t xml:space="preserve">(B) </w:t>
      </w:r>
      <w:r w:rsidRPr="00B54F68">
        <w:rPr>
          <w:rFonts w:ascii="Times New Roman" w:hAnsi="Times New Roman" w:cs="Times New Roman"/>
          <w:color w:val="000000" w:themeColor="text1"/>
          <w:kern w:val="24"/>
          <w:sz w:val="24"/>
          <w:szCs w:val="24"/>
          <w:lang w:val="en-US"/>
        </w:rPr>
        <w:t xml:space="preserve">Sum of all binary images corresponding to seeds; different colors indicate regions activated before multiple DOTs (see color bar on the right: red regions are activated before the onset of 8 or more DOTs). </w:t>
      </w:r>
      <w:r w:rsidRPr="00B54F68">
        <w:rPr>
          <w:rFonts w:ascii="Times New Roman" w:hAnsi="Times New Roman" w:cs="Times New Roman"/>
          <w:b/>
          <w:bCs/>
          <w:color w:val="000000" w:themeColor="text1"/>
          <w:kern w:val="24"/>
          <w:sz w:val="24"/>
          <w:szCs w:val="24"/>
          <w:lang w:val="en-US"/>
        </w:rPr>
        <w:t xml:space="preserve">(C) </w:t>
      </w:r>
      <w:r w:rsidRPr="00B54F68">
        <w:rPr>
          <w:rFonts w:ascii="Times New Roman" w:hAnsi="Times New Roman" w:cs="Times New Roman"/>
          <w:sz w:val="24"/>
          <w:szCs w:val="24"/>
          <w:lang w:val="en-US"/>
        </w:rPr>
        <w:t xml:space="preserve">Probability of activation of a pixel from experimental data compared to a binomial distribution in one experiment (blue and red bars, respectively). The x – axis represents the number of trials (frames) considered. </w:t>
      </w:r>
      <w:r w:rsidRPr="00B54F68">
        <w:rPr>
          <w:rFonts w:ascii="Times New Roman" w:hAnsi="Times New Roman" w:cs="Times New Roman"/>
          <w:color w:val="000000" w:themeColor="text1"/>
          <w:kern w:val="24"/>
          <w:sz w:val="24"/>
          <w:szCs w:val="24"/>
          <w:lang w:val="en-US"/>
        </w:rPr>
        <w:t xml:space="preserve"> </w:t>
      </w:r>
      <w:r w:rsidRPr="00B54F68">
        <w:rPr>
          <w:rFonts w:ascii="Times New Roman" w:hAnsi="Times New Roman" w:cs="Times New Roman"/>
          <w:b/>
          <w:bCs/>
          <w:color w:val="000000" w:themeColor="text1"/>
          <w:kern w:val="24"/>
          <w:sz w:val="24"/>
          <w:szCs w:val="24"/>
          <w:lang w:val="en-US"/>
        </w:rPr>
        <w:t>(D)</w:t>
      </w:r>
      <w:r w:rsidRPr="00B54F68">
        <w:rPr>
          <w:rFonts w:ascii="Times New Roman" w:hAnsi="Times New Roman" w:cs="Times New Roman"/>
          <w:sz w:val="24"/>
          <w:szCs w:val="24"/>
          <w:lang w:val="en-US"/>
        </w:rPr>
        <w:t xml:space="preserve"> Cumulative probability of</w:t>
      </w:r>
      <w:r w:rsidRPr="00B54F68">
        <w:rPr>
          <w:rFonts w:ascii="Times New Roman" w:hAnsi="Times New Roman" w:cs="Times New Roman"/>
          <w:b/>
          <w:sz w:val="24"/>
          <w:szCs w:val="24"/>
          <w:lang w:val="en-US"/>
        </w:rPr>
        <w:t xml:space="preserve"> </w:t>
      </w:r>
      <w:r w:rsidRPr="00B54F68">
        <w:rPr>
          <w:rFonts w:ascii="Times New Roman" w:hAnsi="Times New Roman" w:cs="Times New Roman"/>
          <w:sz w:val="24"/>
          <w:szCs w:val="24"/>
          <w:lang w:val="en-US"/>
        </w:rPr>
        <w:t>pixel activation from experimental data (blue lines) compared to the corresponding binomial distributions (red lines) in three representative experiments. n = 5 slices. The two distributions were not significantly different.</w:t>
      </w:r>
    </w:p>
    <w:p w14:paraId="32AB8DE8" w14:textId="77777777" w:rsidR="003871C3" w:rsidRPr="00B54F68" w:rsidRDefault="003871C3" w:rsidP="0074110D">
      <w:pPr>
        <w:snapToGrid w:val="0"/>
        <w:spacing w:after="0" w:line="276" w:lineRule="auto"/>
        <w:mirrorIndents/>
        <w:jc w:val="both"/>
        <w:rPr>
          <w:rFonts w:ascii="Times New Roman" w:eastAsia="Times New Roman" w:hAnsi="Times New Roman" w:cs="Times New Roman"/>
          <w:sz w:val="24"/>
          <w:szCs w:val="24"/>
          <w:lang w:val="en-US" w:eastAsia="it-IT"/>
        </w:rPr>
      </w:pPr>
    </w:p>
    <w:p w14:paraId="7A6FD804" w14:textId="77777777" w:rsidR="00B54F68" w:rsidRDefault="00B54F68" w:rsidP="0074110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FBF1BE2" w14:textId="77777777" w:rsidR="003871C3" w:rsidRPr="00B54F68" w:rsidRDefault="003871C3" w:rsidP="0074110D">
      <w:pPr>
        <w:snapToGrid w:val="0"/>
        <w:spacing w:after="0" w:line="276" w:lineRule="auto"/>
        <w:mirrorIndents/>
        <w:jc w:val="both"/>
        <w:rPr>
          <w:rFonts w:ascii="Times New Roman" w:hAnsi="Times New Roman" w:cs="Times New Roman"/>
          <w:sz w:val="24"/>
          <w:szCs w:val="24"/>
          <w:lang w:val="en-US"/>
        </w:rPr>
      </w:pPr>
      <w:r w:rsidRPr="00B54F68">
        <w:rPr>
          <w:rFonts w:ascii="Times New Roman" w:hAnsi="Times New Roman" w:cs="Times New Roman"/>
          <w:noProof/>
          <w:sz w:val="24"/>
          <w:szCs w:val="24"/>
          <w:lang w:val="en-US"/>
        </w:rPr>
        <w:lastRenderedPageBreak/>
        <w:drawing>
          <wp:inline distT="0" distB="0" distL="0" distR="0" wp14:anchorId="43FEADA6" wp14:editId="39AA28D1">
            <wp:extent cx="6101211" cy="31115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247" cy="3121208"/>
                    </a:xfrm>
                    <a:prstGeom prst="rect">
                      <a:avLst/>
                    </a:prstGeom>
                    <a:noFill/>
                  </pic:spPr>
                </pic:pic>
              </a:graphicData>
            </a:graphic>
          </wp:inline>
        </w:drawing>
      </w:r>
    </w:p>
    <w:p w14:paraId="519D8A16" w14:textId="77777777" w:rsidR="003871C3" w:rsidRPr="00B54F68" w:rsidRDefault="003871C3" w:rsidP="0074110D">
      <w:pPr>
        <w:snapToGrid w:val="0"/>
        <w:spacing w:after="0" w:line="276" w:lineRule="auto"/>
        <w:mirrorIndents/>
        <w:jc w:val="both"/>
        <w:rPr>
          <w:rFonts w:ascii="Times New Roman" w:hAnsi="Times New Roman" w:cs="Times New Roman"/>
          <w:sz w:val="24"/>
          <w:szCs w:val="24"/>
          <w:lang w:val="en-US"/>
        </w:rPr>
      </w:pPr>
      <w:r w:rsidRPr="00B54F68">
        <w:rPr>
          <w:rFonts w:ascii="Times New Roman" w:hAnsi="Times New Roman" w:cs="Times New Roman"/>
          <w:b/>
          <w:sz w:val="24"/>
          <w:szCs w:val="24"/>
          <w:lang w:val="en-US"/>
        </w:rPr>
        <w:t>Supplementary Figure 4: Dynamics of dissociated hippocampal cell cultures, HD and MD.</w:t>
      </w:r>
      <w:r w:rsidRPr="00B54F68">
        <w:rPr>
          <w:rFonts w:ascii="Times New Roman" w:hAnsi="Times New Roman" w:cs="Times New Roman"/>
          <w:sz w:val="24"/>
          <w:szCs w:val="24"/>
          <w:lang w:val="en-US"/>
        </w:rPr>
        <w:t xml:space="preserve"> </w:t>
      </w:r>
      <w:r w:rsidRPr="00B54F68">
        <w:rPr>
          <w:rFonts w:ascii="Times New Roman" w:hAnsi="Times New Roman" w:cs="Times New Roman"/>
          <w:b/>
          <w:sz w:val="24"/>
          <w:szCs w:val="24"/>
          <w:lang w:val="en-US"/>
        </w:rPr>
        <w:t>(A)</w:t>
      </w:r>
      <w:r w:rsidRPr="00B54F68">
        <w:rPr>
          <w:rFonts w:ascii="Times New Roman" w:hAnsi="Times New Roman" w:cs="Times New Roman"/>
          <w:sz w:val="24"/>
          <w:szCs w:val="24"/>
          <w:lang w:val="en-US"/>
        </w:rPr>
        <w:t xml:space="preserve"> Activation of neurons over time in MD (gray) and HD (black) cultures, normalized to the total number of neurons (100 and 56 for HD and MD cultures, in this representative experiment). </w:t>
      </w:r>
      <w:r w:rsidRPr="00B54F68">
        <w:rPr>
          <w:rFonts w:ascii="Times New Roman" w:hAnsi="Times New Roman" w:cs="Times New Roman"/>
          <w:b/>
          <w:sz w:val="24"/>
          <w:szCs w:val="24"/>
          <w:lang w:val="en-US"/>
        </w:rPr>
        <w:t>(B)</w:t>
      </w:r>
      <w:r w:rsidRPr="00B54F68">
        <w:rPr>
          <w:rFonts w:ascii="Times New Roman" w:hAnsi="Times New Roman" w:cs="Times New Roman"/>
          <w:sz w:val="24"/>
          <w:szCs w:val="24"/>
          <w:lang w:val="en-US"/>
        </w:rPr>
        <w:t xml:space="preserve"> Probability distribution of the number of neurons simultaneously active in MD (gray marks) and HD (black marks) cultures, with corresponding DOT-like event (see circle). </w:t>
      </w:r>
    </w:p>
    <w:p w14:paraId="23C757CB" w14:textId="77777777" w:rsidR="003871C3" w:rsidRPr="00B54F68" w:rsidRDefault="003871C3" w:rsidP="0074110D">
      <w:pPr>
        <w:snapToGrid w:val="0"/>
        <w:spacing w:after="0" w:line="276" w:lineRule="auto"/>
        <w:mirrorIndents/>
        <w:jc w:val="both"/>
        <w:rPr>
          <w:rFonts w:ascii="Times New Roman" w:hAnsi="Times New Roman" w:cs="Times New Roman"/>
          <w:sz w:val="24"/>
          <w:szCs w:val="24"/>
          <w:lang w:val="en-US"/>
        </w:rPr>
      </w:pPr>
      <w:bookmarkStart w:id="0" w:name="_GoBack"/>
      <w:bookmarkEnd w:id="0"/>
    </w:p>
    <w:sectPr w:rsidR="003871C3" w:rsidRPr="00B54F68">
      <w:pgSz w:w="11906" w:h="16838"/>
      <w:pgMar w:top="1417" w:right="1134" w:bottom="1134" w:left="1134"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1C3"/>
    <w:rsid w:val="003243C9"/>
    <w:rsid w:val="003871C3"/>
    <w:rsid w:val="003E5FE2"/>
    <w:rsid w:val="0074110D"/>
    <w:rsid w:val="00B54F68"/>
    <w:rsid w:val="00EB27E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89EEA"/>
  <w15:chartTrackingRefBased/>
  <w15:docId w15:val="{A01CDC41-2C2F-442E-9F83-4E0C61CF6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71C3"/>
    <w:rPr>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4F68"/>
    <w:pPr>
      <w:spacing w:after="0" w:line="240" w:lineRule="auto"/>
    </w:pPr>
    <w:rPr>
      <w:rFonts w:ascii="Times New Roman" w:hAnsi="Times New Roman" w:cs="Times New Roman"/>
      <w:sz w:val="18"/>
      <w:szCs w:val="18"/>
    </w:rPr>
  </w:style>
  <w:style w:type="character" w:customStyle="1" w:styleId="a4">
    <w:name w:val="批注框文本 字符"/>
    <w:basedOn w:val="a0"/>
    <w:link w:val="a3"/>
    <w:uiPriority w:val="99"/>
    <w:semiHidden/>
    <w:rsid w:val="00B54F68"/>
    <w:rPr>
      <w:rFonts w:ascii="Times New Roman" w:hAnsi="Times New Roman" w:cs="Times New Roman"/>
      <w:color w:val="00000A"/>
      <w:sz w:val="18"/>
      <w:szCs w:val="18"/>
    </w:rPr>
  </w:style>
  <w:style w:type="character" w:styleId="a5">
    <w:name w:val="Hyperlink"/>
    <w:basedOn w:val="a0"/>
    <w:uiPriority w:val="99"/>
    <w:unhideWhenUsed/>
    <w:rsid w:val="00B54F68"/>
    <w:rPr>
      <w:color w:val="0563C1" w:themeColor="hyperlink"/>
      <w:u w:val="single"/>
    </w:rPr>
  </w:style>
  <w:style w:type="character" w:styleId="a6">
    <w:name w:val="Unresolved Mention"/>
    <w:basedOn w:val="a0"/>
    <w:uiPriority w:val="99"/>
    <w:semiHidden/>
    <w:unhideWhenUsed/>
    <w:rsid w:val="007411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doi.org/10.37175/stemedicine.v1i1.1" TargetMode="Externa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555</Words>
  <Characters>3166</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Diletta Pozzi</dc:creator>
  <cp:keywords/>
  <dc:description/>
  <cp:lastModifiedBy>1</cp:lastModifiedBy>
  <cp:revision>5</cp:revision>
  <dcterms:created xsi:type="dcterms:W3CDTF">2019-09-01T00:58:00Z</dcterms:created>
  <dcterms:modified xsi:type="dcterms:W3CDTF">2020-01-01T23:56:00Z</dcterms:modified>
</cp:coreProperties>
</file>